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南丹市長　　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南丹市空き家バンク利用登録申込書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南丹市空き家バンク実施要綱に定める趣旨等を理解し、同要綱第</w:t>
      </w:r>
      <w:r>
        <w:rPr>
          <w:rFonts w:hint="eastAsia"/>
        </w:rPr>
        <w:t>8</w:t>
      </w:r>
      <w:r>
        <w:rPr>
          <w:rFonts w:hint="eastAsia"/>
        </w:rPr>
        <w:t>条の規定により、次のとおり南丹市空き家バンクへの利用登録を申し込みます。</w:t>
      </w:r>
    </w:p>
    <w:p>
      <w:pPr>
        <w:pStyle w:val="0"/>
        <w:rPr>
          <w:rFonts w:hint="default"/>
        </w:rPr>
      </w:pP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27"/>
        <w:gridCol w:w="1445"/>
        <w:gridCol w:w="1013"/>
        <w:gridCol w:w="1223"/>
        <w:gridCol w:w="1252"/>
        <w:gridCol w:w="413"/>
        <w:gridCol w:w="516"/>
        <w:gridCol w:w="759"/>
        <w:gridCol w:w="735"/>
        <w:gridCol w:w="1303"/>
      </w:tblGrid>
      <w:tr>
        <w:trPr>
          <w:trHeight w:val="573" w:hRule="atLeast"/>
        </w:trPr>
        <w:tc>
          <w:tcPr>
            <w:tcW w:w="627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　用　希　望　者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76" w:type="dxa"/>
            <w:gridSpan w:val="6"/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/>
                <w:sz w:val="10"/>
              </w:rPr>
              <w:instrText>ふ</w:instrText>
            </w:r>
            <w:r>
              <w:rPr>
                <w:rFonts w:hint="eastAsia" w:ascii="ＭＳ 明朝" w:hAnsi="ＭＳ 明朝"/>
                <w:sz w:val="10"/>
              </w:rPr>
              <w:instrText>り</w:instrText>
            </w:r>
            <w:r>
              <w:rPr>
                <w:rFonts w:hint="eastAsia" w:ascii="ＭＳ 明朝" w:hAnsi="ＭＳ 明朝"/>
                <w:sz w:val="10"/>
              </w:rPr>
              <w:instrText>が</w:instrText>
            </w:r>
            <w:r>
              <w:rPr>
                <w:rFonts w:hint="eastAsia" w:ascii="ＭＳ 明朝" w:hAnsi="ＭＳ 明朝"/>
                <w:sz w:val="10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　　　　　　　　　　　　　　　　　㊞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才</w:t>
            </w:r>
          </w:p>
        </w:tc>
      </w:tr>
      <w:tr>
        <w:trPr/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214" w:type="dxa"/>
            <w:gridSpan w:val="8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236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313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7214" w:type="dxa"/>
            <w:gridSpan w:val="8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同居予定者</w:t>
            </w:r>
          </w:p>
        </w:tc>
        <w:tc>
          <w:tcPr>
            <w:tcW w:w="101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2475" w:type="dxa"/>
            <w:gridSpan w:val="2"/>
            <w:shd w:val="clear" w:color="auto" w:fill="auto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2797" w:type="dxa"/>
            <w:gridSpan w:val="3"/>
            <w:shd w:val="clear" w:color="auto" w:fill="auto"/>
            <w:vAlign w:val="top"/>
          </w:tcPr>
          <w:p>
            <w:pPr>
              <w:pStyle w:val="0"/>
              <w:ind w:firstLine="1890" w:firstLineChars="900"/>
              <w:rPr>
                <w:rFonts w:hint="default"/>
              </w:rPr>
            </w:pPr>
          </w:p>
        </w:tc>
      </w:tr>
      <w:tr>
        <w:trPr/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2475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</w:t>
            </w:r>
          </w:p>
        </w:tc>
        <w:tc>
          <w:tcPr>
            <w:tcW w:w="929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2797" w:type="dxa"/>
            <w:gridSpan w:val="3"/>
            <w:shd w:val="clear" w:color="auto" w:fill="auto"/>
            <w:vAlign w:val="top"/>
          </w:tcPr>
          <w:p>
            <w:pPr>
              <w:pStyle w:val="0"/>
              <w:ind w:firstLine="1890" w:firstLineChars="900"/>
              <w:rPr>
                <w:rFonts w:hint="default"/>
              </w:rPr>
            </w:pPr>
          </w:p>
        </w:tc>
      </w:tr>
      <w:tr>
        <w:trPr/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2475" w:type="dxa"/>
            <w:gridSpan w:val="2"/>
            <w:shd w:val="clear" w:color="auto" w:fill="auto"/>
            <w:vAlign w:val="top"/>
          </w:tcPr>
          <w:p>
            <w:pPr>
              <w:pStyle w:val="0"/>
              <w:ind w:firstLine="1680" w:firstLineChars="800"/>
              <w:rPr>
                <w:rFonts w:hint="default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2797" w:type="dxa"/>
            <w:gridSpan w:val="3"/>
            <w:shd w:val="clear" w:color="auto" w:fill="auto"/>
            <w:vAlign w:val="top"/>
          </w:tcPr>
          <w:p>
            <w:pPr>
              <w:pStyle w:val="0"/>
              <w:ind w:firstLine="1890" w:firstLineChars="900"/>
              <w:rPr>
                <w:rFonts w:hint="default"/>
              </w:rPr>
            </w:pPr>
          </w:p>
        </w:tc>
      </w:tr>
      <w:tr>
        <w:trPr/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2475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2797" w:type="dxa"/>
            <w:gridSpan w:val="3"/>
            <w:shd w:val="clear" w:color="auto" w:fill="auto"/>
            <w:vAlign w:val="top"/>
          </w:tcPr>
          <w:p>
            <w:pPr>
              <w:pStyle w:val="0"/>
              <w:ind w:firstLine="1890" w:firstLineChars="900"/>
              <w:rPr>
                <w:rFonts w:hint="default"/>
              </w:rPr>
            </w:pPr>
          </w:p>
        </w:tc>
      </w:tr>
      <w:tr>
        <w:trPr/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現在の職業</w:t>
            </w:r>
          </w:p>
        </w:tc>
        <w:tc>
          <w:tcPr>
            <w:tcW w:w="7214" w:type="dxa"/>
            <w:gridSpan w:val="8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会社員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会社役員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自営業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40" w:hRule="atLeast"/>
        </w:trPr>
        <w:tc>
          <w:tcPr>
            <w:tcW w:w="62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移住後の職業</w:t>
            </w:r>
          </w:p>
        </w:tc>
        <w:tc>
          <w:tcPr>
            <w:tcW w:w="7214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決定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未決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現在のまま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　　　　　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(1.</w:t>
            </w:r>
            <w:r>
              <w:rPr>
                <w:rFonts w:hint="eastAsia"/>
              </w:rPr>
              <w:t>会社員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会社役員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自営業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その他　　　　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627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　望　物　件</w:t>
            </w:r>
          </w:p>
        </w:tc>
        <w:tc>
          <w:tcPr>
            <w:tcW w:w="144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8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売買物件</w:t>
            </w:r>
          </w:p>
        </w:tc>
        <w:tc>
          <w:tcPr>
            <w:tcW w:w="3726" w:type="dxa"/>
            <w:gridSpan w:val="5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賃貸物件</w:t>
            </w:r>
          </w:p>
        </w:tc>
      </w:tr>
      <w:tr>
        <w:trPr/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物件種別</w:t>
            </w:r>
          </w:p>
        </w:tc>
        <w:tc>
          <w:tcPr>
            <w:tcW w:w="3488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住宅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土地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372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住宅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土地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希望価格等</w:t>
            </w:r>
          </w:p>
        </w:tc>
        <w:tc>
          <w:tcPr>
            <w:tcW w:w="3488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万円～　　　　万円</w:t>
            </w:r>
          </w:p>
        </w:tc>
        <w:tc>
          <w:tcPr>
            <w:tcW w:w="372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月額　　　万円～月額　　　万円</w:t>
            </w:r>
          </w:p>
        </w:tc>
      </w:tr>
      <w:tr>
        <w:trPr/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土地規模</w:t>
            </w:r>
          </w:p>
        </w:tc>
        <w:tc>
          <w:tcPr>
            <w:tcW w:w="3488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㎡～　　　　　㎡</w:t>
            </w:r>
          </w:p>
        </w:tc>
        <w:tc>
          <w:tcPr>
            <w:tcW w:w="372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㎡～　　　　　　㎡</w:t>
            </w:r>
          </w:p>
        </w:tc>
      </w:tr>
      <w:tr>
        <w:trPr/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建物規模</w:t>
            </w:r>
          </w:p>
        </w:tc>
        <w:tc>
          <w:tcPr>
            <w:tcW w:w="3488" w:type="dxa"/>
            <w:gridSpan w:val="3"/>
            <w:shd w:val="clear" w:color="auto" w:fill="auto"/>
            <w:vAlign w:val="top"/>
          </w:tcPr>
          <w:p>
            <w:pPr>
              <w:pStyle w:val="0"/>
              <w:ind w:firstLine="1050" w:firstLineChars="500"/>
              <w:rPr>
                <w:rFonts w:hint="default"/>
              </w:rPr>
            </w:pPr>
            <w:r>
              <w:rPr>
                <w:rFonts w:hint="eastAsia"/>
              </w:rPr>
              <w:t>㎡～　　　　　㎡</w:t>
            </w:r>
          </w:p>
        </w:tc>
        <w:tc>
          <w:tcPr>
            <w:tcW w:w="3726" w:type="dxa"/>
            <w:gridSpan w:val="5"/>
            <w:shd w:val="clear" w:color="auto" w:fill="auto"/>
            <w:vAlign w:val="top"/>
          </w:tcPr>
          <w:p>
            <w:pPr>
              <w:pStyle w:val="0"/>
              <w:ind w:firstLine="1050" w:firstLineChars="500"/>
              <w:rPr>
                <w:rFonts w:hint="default"/>
              </w:rPr>
            </w:pPr>
            <w:r>
              <w:rPr>
                <w:rFonts w:hint="eastAsia"/>
              </w:rPr>
              <w:t>㎡～　　　　　　㎡</w:t>
            </w:r>
          </w:p>
        </w:tc>
      </w:tr>
      <w:tr>
        <w:trPr/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土地用途</w:t>
            </w:r>
          </w:p>
        </w:tc>
        <w:tc>
          <w:tcPr>
            <w:tcW w:w="3488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住宅用地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372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住宅用地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3488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住宅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372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住宅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希望条件</w:t>
            </w:r>
          </w:p>
        </w:tc>
        <w:tc>
          <w:tcPr>
            <w:tcW w:w="3488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2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0" w:hRule="atLeast"/>
        </w:trPr>
        <w:tc>
          <w:tcPr>
            <w:tcW w:w="2072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14" w:type="dxa"/>
            <w:gridSpan w:val="8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※登録内容に変更等が生じた場合は、速やかに連絡を行い届け出てください。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</w:t>
      </w:r>
      <w:r>
        <w:rPr>
          <w:rFonts w:hint="default" w:ascii="Century" w:hAnsi="Century" w:eastAsia="ＭＳ 明朝"/>
          <w:kern w:val="2"/>
          <w:sz w:val="21"/>
          <w:highlight w:val="none"/>
        </w:rPr>
        <w:t>個人情報の保護に関する法律</w:t>
      </w:r>
      <w:r>
        <w:rPr>
          <w:rFonts w:hint="default" w:ascii="Century" w:hAnsi="Century" w:eastAsia="ＭＳ 明朝"/>
          <w:kern w:val="2"/>
          <w:sz w:val="21"/>
          <w:highlight w:val="none"/>
        </w:rPr>
        <w:t>(</w:t>
      </w:r>
      <w:r>
        <w:rPr>
          <w:rFonts w:hint="default" w:ascii="Century" w:hAnsi="Century" w:eastAsia="ＭＳ 明朝"/>
          <w:kern w:val="2"/>
          <w:sz w:val="21"/>
          <w:highlight w:val="none"/>
        </w:rPr>
        <w:t>平成</w:t>
      </w:r>
      <w:r>
        <w:rPr>
          <w:rFonts w:hint="default" w:ascii="Century" w:hAnsi="Century" w:eastAsia="ＭＳ 明朝"/>
          <w:kern w:val="2"/>
          <w:sz w:val="21"/>
          <w:highlight w:val="none"/>
        </w:rPr>
        <w:t>15</w:t>
      </w:r>
      <w:r>
        <w:rPr>
          <w:rFonts w:hint="default" w:ascii="Century" w:hAnsi="Century" w:eastAsia="ＭＳ 明朝"/>
          <w:kern w:val="2"/>
          <w:sz w:val="21"/>
          <w:highlight w:val="none"/>
        </w:rPr>
        <w:t>年法律第</w:t>
      </w:r>
      <w:r>
        <w:rPr>
          <w:rFonts w:hint="default" w:ascii="Century" w:hAnsi="Century" w:eastAsia="ＭＳ 明朝"/>
          <w:kern w:val="2"/>
          <w:sz w:val="21"/>
          <w:highlight w:val="none"/>
        </w:rPr>
        <w:t>57</w:t>
      </w:r>
      <w:r>
        <w:rPr>
          <w:rFonts w:hint="default" w:ascii="Century" w:hAnsi="Century" w:eastAsia="ＭＳ 明朝"/>
          <w:kern w:val="2"/>
          <w:sz w:val="21"/>
          <w:highlight w:val="none"/>
        </w:rPr>
        <w:t>号</w:t>
      </w:r>
      <w:r>
        <w:rPr>
          <w:rFonts w:hint="default" w:ascii="Century" w:hAnsi="Century" w:eastAsia="ＭＳ 明朝"/>
          <w:kern w:val="2"/>
          <w:sz w:val="21"/>
          <w:highlight w:val="none"/>
        </w:rPr>
        <w:t>)</w:t>
      </w:r>
      <w:r>
        <w:rPr>
          <w:rFonts w:hint="default" w:ascii="Century" w:hAnsi="Century" w:eastAsia="ＭＳ 明朝"/>
          <w:kern w:val="2"/>
          <w:sz w:val="21"/>
          <w:highlight w:val="none"/>
        </w:rPr>
        <w:t>及び南丹市個人情報保護法施行条例</w:t>
      </w:r>
      <w:r>
        <w:rPr>
          <w:rFonts w:hint="default" w:ascii="Century" w:hAnsi="Century" w:eastAsia="ＭＳ 明朝"/>
          <w:kern w:val="2"/>
          <w:sz w:val="21"/>
          <w:highlight w:val="none"/>
        </w:rPr>
        <w:t>(</w:t>
      </w:r>
      <w:r>
        <w:rPr>
          <w:rFonts w:hint="default" w:ascii="Century" w:hAnsi="Century" w:eastAsia="ＭＳ 明朝"/>
          <w:kern w:val="2"/>
          <w:sz w:val="21"/>
          <w:highlight w:val="none"/>
        </w:rPr>
        <w:t>令和</w:t>
      </w:r>
      <w:r>
        <w:rPr>
          <w:rFonts w:hint="default" w:ascii="Century" w:hAnsi="Century" w:eastAsia="ＭＳ 明朝"/>
          <w:kern w:val="2"/>
          <w:sz w:val="21"/>
          <w:highlight w:val="none"/>
        </w:rPr>
        <w:t>5</w:t>
      </w:r>
      <w:r>
        <w:rPr>
          <w:rFonts w:hint="default" w:ascii="Century" w:hAnsi="Century" w:eastAsia="ＭＳ 明朝"/>
          <w:kern w:val="2"/>
          <w:sz w:val="21"/>
          <w:highlight w:val="none"/>
        </w:rPr>
        <w:t>年南丹市条例第</w:t>
      </w:r>
      <w:r>
        <w:rPr>
          <w:rFonts w:hint="default" w:ascii="Century" w:hAnsi="Century" w:eastAsia="ＭＳ 明朝"/>
          <w:kern w:val="2"/>
          <w:sz w:val="21"/>
          <w:highlight w:val="none"/>
        </w:rPr>
        <w:t>1</w:t>
      </w:r>
      <w:r>
        <w:rPr>
          <w:rFonts w:hint="default" w:ascii="Century" w:hAnsi="Century" w:eastAsia="ＭＳ 明朝"/>
          <w:kern w:val="2"/>
          <w:sz w:val="21"/>
          <w:highlight w:val="none"/>
        </w:rPr>
        <w:t>号</w:t>
      </w:r>
      <w:r>
        <w:rPr>
          <w:rFonts w:hint="default" w:ascii="Century" w:hAnsi="Century" w:eastAsia="ＭＳ 明朝"/>
          <w:kern w:val="2"/>
          <w:sz w:val="21"/>
          <w:highlight w:val="none"/>
        </w:rPr>
        <w:t>)</w:t>
      </w:r>
      <w:r>
        <w:rPr>
          <w:rFonts w:hint="eastAsia"/>
        </w:rPr>
        <w:t>の規定の趣旨に基づき申込みされた個人情報は、空き家登録者への提供の他、本事業の目的以外に利用いたしません。</w:t>
      </w:r>
    </w:p>
    <w:sectPr>
      <w:type w:val="continuous"/>
      <w:pgSz w:w="11906" w:h="16838"/>
      <w:pgMar w:top="1134" w:right="1418" w:bottom="1134" w:left="1418" w:header="851" w:footer="397" w:gutter="0"/>
      <w:cols w:space="720"/>
      <w:textDirection w:val="lrTb"/>
      <w:docGrid w:type="linesAndChars" w:linePitch="3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35</Words>
  <Characters>527</Characters>
  <Application>JUST Note</Application>
  <Lines>343</Lines>
  <Paragraphs>56</Paragraphs>
  <Company>南丹市</Company>
  <CharactersWithSpaces>711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南丹市空き家バンク実施要綱</dc:title>
  <dc:creator>南丹市</dc:creator>
  <cp:lastModifiedBy>Administrator</cp:lastModifiedBy>
  <cp:lastPrinted>2016-11-23T23:59:00Z</cp:lastPrinted>
  <dcterms:created xsi:type="dcterms:W3CDTF">2016-11-24T01:50:00Z</dcterms:created>
  <dcterms:modified xsi:type="dcterms:W3CDTF">2023-03-29T07:37:50Z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DocHome">
    <vt:i4>-910176708</vt:i4>
  </property>
</Properties>
</file>